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黑体"/>
          <w:sz w:val="30"/>
          <w:szCs w:val="30"/>
        </w:rPr>
      </w:pPr>
      <w:r>
        <w:rPr>
          <w:rFonts w:eastAsia="黑体"/>
          <w:sz w:val="30"/>
          <w:szCs w:val="30"/>
        </w:rPr>
        <w:t>江苏省地方标准</w:t>
      </w:r>
    </w:p>
    <w:p>
      <w:pPr>
        <w:spacing w:line="360" w:lineRule="auto"/>
        <w:jc w:val="center"/>
        <w:rPr>
          <w:rFonts w:eastAsia="黑体"/>
          <w:sz w:val="30"/>
          <w:szCs w:val="30"/>
        </w:rPr>
      </w:pPr>
      <w:r>
        <w:rPr>
          <w:rFonts w:eastAsia="黑体"/>
          <w:sz w:val="30"/>
          <w:szCs w:val="30"/>
        </w:rPr>
        <w:t>《</w:t>
      </w:r>
      <w:r>
        <w:rPr>
          <w:rFonts w:hint="eastAsia" w:eastAsia="黑体"/>
          <w:sz w:val="32"/>
          <w:szCs w:val="32"/>
          <w:lang w:val="en-US" w:eastAsia="zh-CN"/>
        </w:rPr>
        <w:t>无锡水蜜桃</w:t>
      </w:r>
      <w:r>
        <w:rPr>
          <w:rFonts w:eastAsia="黑体"/>
          <w:sz w:val="30"/>
          <w:szCs w:val="30"/>
        </w:rPr>
        <w:t>》</w:t>
      </w:r>
    </w:p>
    <w:p>
      <w:pPr>
        <w:spacing w:line="360" w:lineRule="auto"/>
        <w:jc w:val="center"/>
        <w:rPr>
          <w:rFonts w:hint="eastAsia" w:ascii="黑体" w:hAnsi="黑体" w:eastAsia="黑体"/>
          <w:sz w:val="28"/>
          <w:szCs w:val="28"/>
        </w:rPr>
      </w:pPr>
      <w:r>
        <w:rPr>
          <w:rFonts w:eastAsia="黑体"/>
          <w:sz w:val="30"/>
          <w:szCs w:val="30"/>
        </w:rPr>
        <w:t>编　制　说　明</w:t>
      </w:r>
    </w:p>
    <w:p>
      <w:pPr>
        <w:spacing w:afterLines="50" w:line="460" w:lineRule="exact"/>
        <w:rPr>
          <w:rFonts w:ascii="黑体" w:hAnsi="黑体" w:eastAsia="黑体"/>
          <w:sz w:val="24"/>
          <w:szCs w:val="24"/>
        </w:rPr>
      </w:pPr>
      <w:r>
        <w:rPr>
          <w:rFonts w:hint="eastAsia" w:ascii="黑体" w:hAnsi="黑体" w:eastAsia="黑体"/>
          <w:sz w:val="24"/>
          <w:szCs w:val="24"/>
        </w:rPr>
        <w:t>一、目的意义</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根据《国家质量兴农战略计划（2018-2022年）》，围绕推动乡村产业振兴，与农业高质量发展相适应，阳山水蜜桃桃农协会对“无锡水蜜桃生产技术规程”江苏省地方标准进行了修订。</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近年，为提高水蜜桃品质并保障水蜜桃食品安全，满足人民日益增长的美好生活需要，无锡市惠山区阳山水蜜桃桃农协会与农业部门协同发力，不断革新无锡地区水蜜桃栽培技术和品种，完善水蜜桃分级标准。故原有的标准在某些方面已滞后于形势发展，有必要进行修订。</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本次修订针对近年来部分桃园施肥不合理、土壤理化性质劣化、土壤有机质含量偏低等问题，新增了生草栽培、地膜地布覆盖等栽培技术，旨在引导桃农进行土壤改良修复，提升桃果品质。</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该标准的修订将有力推进无锡水蜜桃产业管控水蜜桃质量安全、培育水蜜桃品牌、构建高质量发展标准体系，为规模化种植及新技术、新品种、新模式的推广提供有力支撑，带动桃农接受新理念、采用新技术、培育新品种、学习新模式。此次修订对于无锡水蜜桃产业的可持续、高质量发展意义重大。</w:t>
      </w:r>
    </w:p>
    <w:p>
      <w:pPr>
        <w:spacing w:beforeLines="50" w:afterLines="50" w:line="460" w:lineRule="exact"/>
        <w:rPr>
          <w:rFonts w:ascii="黑体" w:hAnsi="黑体" w:eastAsia="黑体" w:cs="宋体"/>
          <w:kern w:val="0"/>
          <w:sz w:val="24"/>
          <w:szCs w:val="24"/>
        </w:rPr>
      </w:pPr>
      <w:r>
        <w:rPr>
          <w:rFonts w:hint="eastAsia" w:ascii="黑体" w:hAnsi="黑体" w:eastAsia="黑体" w:cs="宋体"/>
          <w:kern w:val="0"/>
          <w:sz w:val="24"/>
          <w:szCs w:val="24"/>
        </w:rPr>
        <w:t>二、任务来源</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为规范无锡水蜜桃生产，推动无锡桃产业发展，由无锡市惠山区阳山水蜜桃桃农协会提出，无锡市市场监督管理局推荐，经《省市场监管局关于下达 2023 年度江苏省地方标准项目计划的通知》（苏市监标【2023】173号）立项批准，由无锡市惠山区阳山水蜜桃桃农协会承担修订《无锡水蜜桃》地方标准。</w:t>
      </w:r>
    </w:p>
    <w:p>
      <w:pPr>
        <w:ind w:firstLine="420" w:firstLineChars="200"/>
        <w:jc w:val="left"/>
        <w:rPr>
          <w:rFonts w:hint="default" w:ascii="宋体" w:hAnsi="宋体" w:eastAsia="宋体" w:cs="宋体"/>
          <w:sz w:val="21"/>
          <w:szCs w:val="20"/>
          <w:lang w:val="en-US" w:eastAsia="zh-CN"/>
        </w:rPr>
      </w:pPr>
    </w:p>
    <w:p>
      <w:pPr>
        <w:spacing w:beforeLines="50" w:afterLines="50" w:line="460" w:lineRule="exact"/>
        <w:rPr>
          <w:rFonts w:ascii="黑体" w:hAnsi="黑体" w:eastAsia="黑体" w:cs="宋体"/>
          <w:kern w:val="0"/>
          <w:sz w:val="24"/>
          <w:szCs w:val="24"/>
        </w:rPr>
      </w:pPr>
      <w:r>
        <w:rPr>
          <w:rFonts w:hint="eastAsia" w:ascii="黑体" w:hAnsi="黑体" w:eastAsia="黑体" w:cs="宋体"/>
          <w:kern w:val="0"/>
          <w:sz w:val="24"/>
          <w:szCs w:val="24"/>
        </w:rPr>
        <w:t>三、编制过程</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接到任务后，无锡市惠山区阳山水蜜桃桃农协会立即组织人员成立标准修订小组，小组由长期从事无锡水蜜桃实验研究工作和生产实践的人员组成。</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小组收集学习了国家、行业和相关省市无公害及绿色食品水蜜桃技术规程，形成总体技术把控的理念与基本要求。并对无锡水蜜桃的生产情况进行了调研，尤其是阳山、洛社和钱桥等地区的具体管理措施，整理总结近10年来无锡水蜜桃技术更新中，具有指导意义的先进实用技术，作为标准基本技术材料。在此基础上，小组结合江苏省农业科学院果树研究所桃园试验与无锡的栽培管理，总结形成了本标准的初稿。</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初稿形成后，为广泛征求各方意见，起草小组将本标准的征求意见稿发送至长期开展桃生产技术研究和实践的江苏省农业科学院果树所等单位的相关专家，进一步征求意见建议。</w:t>
      </w:r>
    </w:p>
    <w:p>
      <w:pPr>
        <w:spacing w:beforeLines="50" w:afterLines="50" w:line="460" w:lineRule="exact"/>
        <w:rPr>
          <w:rFonts w:ascii="黑体" w:hAnsi="黑体" w:eastAsia="黑体" w:cs="宋体"/>
          <w:kern w:val="0"/>
          <w:sz w:val="24"/>
          <w:szCs w:val="24"/>
        </w:rPr>
      </w:pPr>
      <w:r>
        <w:rPr>
          <w:rFonts w:hint="eastAsia" w:ascii="黑体" w:hAnsi="黑体" w:eastAsia="黑体" w:cs="宋体"/>
          <w:kern w:val="0"/>
          <w:sz w:val="24"/>
          <w:szCs w:val="24"/>
        </w:rPr>
        <w:t>四、主要内容</w:t>
      </w:r>
      <w:r>
        <w:rPr>
          <w:rFonts w:hint="eastAsia" w:ascii="黑体" w:hAnsi="黑体" w:eastAsia="黑体" w:cs="宋体"/>
          <w:kern w:val="0"/>
          <w:sz w:val="24"/>
          <w:szCs w:val="24"/>
          <w:lang w:val="en-US" w:eastAsia="zh-CN"/>
        </w:rPr>
        <w:t>与</w:t>
      </w:r>
      <w:r>
        <w:rPr>
          <w:rFonts w:hint="eastAsia" w:ascii="黑体" w:hAnsi="黑体" w:eastAsia="黑体" w:cs="宋体"/>
          <w:kern w:val="0"/>
          <w:sz w:val="24"/>
          <w:szCs w:val="24"/>
        </w:rPr>
        <w:t>技术指标</w:t>
      </w:r>
      <w:r>
        <w:rPr>
          <w:rFonts w:hint="eastAsia" w:ascii="黑体" w:hAnsi="黑体" w:eastAsia="黑体" w:cs="宋体"/>
          <w:kern w:val="0"/>
          <w:sz w:val="24"/>
          <w:szCs w:val="24"/>
          <w:lang w:val="en-US" w:eastAsia="zh-CN"/>
        </w:rPr>
        <w:t>的</w:t>
      </w:r>
      <w:r>
        <w:rPr>
          <w:rFonts w:hint="eastAsia" w:ascii="黑体" w:hAnsi="黑体" w:eastAsia="黑体" w:cs="宋体"/>
          <w:kern w:val="0"/>
          <w:sz w:val="24"/>
          <w:szCs w:val="24"/>
        </w:rPr>
        <w:t>确立</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本次修订在2009版标准基础上，依据近年来无锡水蜜桃主栽品种变化，品种性状观察，调整了部分无锡水蜜桃品种及部分水蜜桃品种的果重和可溶性固形物的分级标准。</w:t>
      </w:r>
    </w:p>
    <w:p>
      <w:pPr>
        <w:spacing w:line="400" w:lineRule="exact"/>
        <w:ind w:firstLine="420" w:firstLineChars="200"/>
        <w:rPr>
          <w:rFonts w:hint="default" w:ascii="宋体" w:hAnsi="宋体" w:eastAsia="宋体" w:cs="宋体"/>
          <w:sz w:val="21"/>
          <w:szCs w:val="20"/>
          <w:lang w:val="en-US" w:eastAsia="zh-CN"/>
        </w:rPr>
      </w:pPr>
      <w:r>
        <w:rPr>
          <w:rFonts w:hint="default" w:ascii="宋体" w:hAnsi="宋体" w:eastAsia="宋体" w:cs="宋体"/>
          <w:sz w:val="21"/>
          <w:szCs w:val="20"/>
          <w:lang w:val="en-US" w:eastAsia="zh-CN"/>
        </w:rPr>
        <w:t>主要依据有:</w:t>
      </w:r>
    </w:p>
    <w:p>
      <w:pPr>
        <w:spacing w:line="400" w:lineRule="exact"/>
        <w:ind w:firstLine="420" w:firstLineChars="200"/>
        <w:rPr>
          <w:rFonts w:hint="default" w:ascii="宋体" w:hAnsi="宋体" w:eastAsia="宋体" w:cs="宋体"/>
          <w:sz w:val="21"/>
          <w:szCs w:val="20"/>
          <w:lang w:val="en-US" w:eastAsia="zh-CN"/>
        </w:rPr>
      </w:pPr>
      <w:r>
        <w:rPr>
          <w:rFonts w:hint="default" w:ascii="宋体" w:hAnsi="宋体" w:eastAsia="宋体" w:cs="宋体"/>
          <w:sz w:val="21"/>
          <w:szCs w:val="20"/>
          <w:lang w:val="en-US" w:eastAsia="zh-CN"/>
        </w:rPr>
        <w:t>（一）国家、行业和相关省市无公害及绿色食品的水蜜桃技术规程。</w:t>
      </w:r>
    </w:p>
    <w:p>
      <w:pPr>
        <w:spacing w:line="400" w:lineRule="exact"/>
        <w:ind w:firstLine="420" w:firstLineChars="200"/>
        <w:rPr>
          <w:rFonts w:hint="default" w:ascii="宋体" w:hAnsi="宋体" w:eastAsia="宋体" w:cs="宋体"/>
          <w:sz w:val="21"/>
          <w:szCs w:val="20"/>
          <w:lang w:val="en-US" w:eastAsia="zh-CN"/>
        </w:rPr>
      </w:pPr>
      <w:r>
        <w:rPr>
          <w:rFonts w:hint="default" w:ascii="宋体" w:hAnsi="宋体" w:eastAsia="宋体" w:cs="宋体"/>
          <w:sz w:val="21"/>
          <w:szCs w:val="20"/>
          <w:lang w:val="en-US" w:eastAsia="zh-CN"/>
        </w:rPr>
        <w:t>（二）同行业可参考的标准和技术文献。</w:t>
      </w:r>
    </w:p>
    <w:p>
      <w:pPr>
        <w:spacing w:line="400" w:lineRule="exact"/>
        <w:ind w:firstLine="420" w:firstLineChars="200"/>
        <w:rPr>
          <w:rFonts w:hint="default" w:ascii="宋体" w:hAnsi="宋体" w:eastAsia="宋体" w:cs="宋体"/>
          <w:sz w:val="21"/>
          <w:szCs w:val="20"/>
          <w:lang w:val="en-US" w:eastAsia="zh-CN"/>
        </w:rPr>
      </w:pPr>
      <w:r>
        <w:rPr>
          <w:rFonts w:hint="default" w:ascii="宋体" w:hAnsi="宋体" w:eastAsia="宋体" w:cs="宋体"/>
          <w:sz w:val="21"/>
          <w:szCs w:val="20"/>
          <w:lang w:val="en-US" w:eastAsia="zh-CN"/>
        </w:rPr>
        <w:t>（三）近10年阳山水蜜桃新技术试验成果。</w:t>
      </w:r>
    </w:p>
    <w:p>
      <w:pPr>
        <w:spacing w:line="400" w:lineRule="exact"/>
        <w:ind w:firstLine="420" w:firstLineChars="200"/>
        <w:rPr>
          <w:rFonts w:hint="default" w:ascii="宋体" w:hAnsi="宋体" w:eastAsia="宋体" w:cs="宋体"/>
          <w:sz w:val="21"/>
          <w:szCs w:val="20"/>
          <w:lang w:val="en-US" w:eastAsia="zh-CN"/>
        </w:rPr>
      </w:pPr>
      <w:r>
        <w:rPr>
          <w:rFonts w:hint="default" w:ascii="宋体" w:hAnsi="宋体" w:eastAsia="宋体" w:cs="宋体"/>
          <w:sz w:val="21"/>
          <w:szCs w:val="20"/>
          <w:lang w:val="en-US" w:eastAsia="zh-CN"/>
        </w:rPr>
        <w:t>（四）规模桃园及新型农业经营主体的经验总结。</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eastAsia" w:ascii="宋体" w:hAnsi="宋体" w:eastAsia="宋体" w:cs="宋体"/>
          <w:sz w:val="21"/>
          <w:szCs w:val="2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left"/>
        <w:textAlignment w:val="auto"/>
        <w:rPr>
          <w:rFonts w:hint="eastAsia" w:ascii="黑体" w:hAnsi="黑体" w:eastAsia="黑体" w:cs="宋体"/>
          <w:color w:val="auto"/>
          <w:kern w:val="0"/>
          <w:sz w:val="24"/>
          <w:szCs w:val="24"/>
          <w:lang w:val="en-US" w:eastAsia="zh-CN"/>
        </w:rPr>
      </w:pPr>
      <w:r>
        <w:rPr>
          <w:rFonts w:hint="eastAsia" w:ascii="黑体" w:hAnsi="黑体" w:eastAsia="黑体" w:cs="宋体"/>
          <w:color w:val="auto"/>
          <w:kern w:val="0"/>
          <w:sz w:val="24"/>
          <w:szCs w:val="24"/>
          <w:lang w:val="en-US" w:eastAsia="zh-CN" w:bidi="ar-SA"/>
        </w:rPr>
        <w:t>五、</w:t>
      </w:r>
      <w:r>
        <w:rPr>
          <w:rFonts w:hint="eastAsia" w:ascii="黑体" w:hAnsi="黑体" w:eastAsia="黑体" w:cs="宋体"/>
          <w:color w:val="auto"/>
          <w:kern w:val="0"/>
          <w:sz w:val="24"/>
          <w:szCs w:val="24"/>
          <w:lang w:val="en-US" w:eastAsia="zh-CN"/>
        </w:rPr>
        <w:t>重大分歧意见的处理过程和依据</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黑体" w:hAnsi="黑体" w:eastAsia="黑体" w:cs="宋体"/>
          <w:kern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default" w:ascii="宋体" w:hAnsi="宋体" w:eastAsia="宋体" w:cs="宋体"/>
          <w:sz w:val="21"/>
          <w:szCs w:val="20"/>
          <w:lang w:val="en-US" w:eastAsia="zh-CN"/>
        </w:rPr>
      </w:pPr>
      <w:r>
        <w:rPr>
          <w:rFonts w:hint="default" w:ascii="宋体" w:hAnsi="宋体" w:eastAsia="宋体" w:cs="宋体"/>
          <w:sz w:val="21"/>
          <w:szCs w:val="20"/>
          <w:lang w:val="en-US" w:eastAsia="zh-CN"/>
        </w:rPr>
        <w:t>本标准在制定过程中未出现重大分歧意见。</w:t>
      </w:r>
    </w:p>
    <w:p>
      <w:pPr>
        <w:spacing w:beforeLines="50" w:afterLines="50" w:line="460" w:lineRule="exact"/>
        <w:rPr>
          <w:rFonts w:ascii="黑体" w:hAnsi="黑体" w:eastAsia="黑体" w:cs="宋体"/>
          <w:kern w:val="0"/>
          <w:sz w:val="24"/>
          <w:szCs w:val="24"/>
        </w:rPr>
      </w:pPr>
      <w:r>
        <w:rPr>
          <w:rFonts w:hint="eastAsia" w:ascii="黑体" w:hAnsi="黑体" w:eastAsia="黑体" w:cs="宋体"/>
          <w:kern w:val="0"/>
          <w:sz w:val="24"/>
          <w:szCs w:val="24"/>
          <w:lang w:val="en-US" w:eastAsia="zh-CN"/>
        </w:rPr>
        <w:t>六</w:t>
      </w:r>
      <w:r>
        <w:rPr>
          <w:rFonts w:hint="eastAsia" w:ascii="黑体" w:hAnsi="黑体" w:eastAsia="黑体" w:cs="宋体"/>
          <w:kern w:val="0"/>
          <w:sz w:val="24"/>
          <w:szCs w:val="24"/>
        </w:rPr>
        <w:t>、与相关法律法规和国家标准的关系</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（一）与相关法律法规和标准的关系</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本标准与相关的法律法规及强制性标准协调配套，不存在违反相关法律法规及强制性标准的技术内容。本标准与农业行业标准“NY/T 424  绿色食品鲜桃”的内容相比，在遵循上述标准的前提下，结合无锡地区实际情况，细化技术要求，从而更好地满足无锡水蜜桃的生产需求。</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（二）参考和引用的主要标准</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NY/T 424  绿色食品鲜桃</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NY/T 26372014  水果和蔬菜可溶性固形物含量的测定折射仪法</w:t>
      </w:r>
    </w:p>
    <w:p>
      <w:pPr>
        <w:spacing w:before="156" w:beforeLines="50" w:after="156" w:afterLines="50"/>
        <w:rPr>
          <w:rFonts w:hint="eastAsia" w:ascii="宋体" w:hAnsi="宋体" w:eastAsia="宋体" w:cs="宋体"/>
          <w:sz w:val="21"/>
          <w:szCs w:val="21"/>
        </w:rPr>
      </w:pPr>
      <w:r>
        <w:rPr>
          <w:rFonts w:hint="eastAsia" w:eastAsia="黑体"/>
          <w:sz w:val="24"/>
          <w:lang w:val="en-US" w:eastAsia="zh-CN"/>
        </w:rPr>
        <w:t>七</w:t>
      </w:r>
      <w:r>
        <w:rPr>
          <w:rFonts w:eastAsia="黑体"/>
          <w:sz w:val="24"/>
        </w:rPr>
        <w:t>、起草单位情况</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无锡市惠山区阳山水蜜桃桃农协会成立于1998年3月，现有会员5600余人，示范带动桃农13000余户，水蜜桃种植面积3.8万亩。</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协会主要进行种桃知识普及、桃树技术咨询以及水蜜桃的质量监督管理。协会致力于推动阳山水蜜桃产业化经营，走出一条桃农+协会+公司（专业市场、经纪人）+市场的产业化经营之路，确保了产销衔接。协会为桃农统一注册了“阳山”牌地方证明商标，统一建设专业市场和管理，桃箱制作，统一生产标准与产品标准，方便阳山水蜜桃标准化生产与销售。协会制订并实施了《无锡水蜜桃生产技术规程》和《无锡水蜜桃》两项江苏省地方标准，《湖景蜜露桃生产技术规程》、《新白凤桃生产技术规程》、《阳山水蜜桃标准果园建园规范》和《桃园梨小食心虫绿色防控技术规程》四项团体标准，在江苏省率先实施水蜜桃标准化管理。同时，协会积极与高校院所合作，开展技术培训和农业科技110服务，大力推广新型实用栽培技术，提升阳山桃农的总体技术水平和品牌意识。</w:t>
      </w:r>
    </w:p>
    <w:p>
      <w:pPr>
        <w:spacing w:line="400" w:lineRule="exact"/>
        <w:ind w:firstLine="420" w:firstLineChars="200"/>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阳山水蜜桃已获国家质检总局的“原产地标记证书”、国家工商总局“阳山水蜜桃地方证明商标”和农业部农产品地理标志，还先后荣获首届中国名牌农产品、中国驰名商标、“中国十大名桃”、绿色食品、农业部第四批中国重要农业文化遗产名录、中国特色农产品优势区等荣誉。</w:t>
      </w:r>
    </w:p>
    <w:p>
      <w:pPr>
        <w:spacing w:line="400" w:lineRule="exact"/>
        <w:rPr>
          <w:rFonts w:hint="eastAsia" w:ascii="宋体" w:hAnsi="宋体" w:eastAsia="宋体" w:cs="宋体"/>
          <w:color w:val="auto"/>
          <w:sz w:val="21"/>
          <w:szCs w:val="20"/>
          <w:lang w:val="en-US" w:eastAsia="zh-CN"/>
        </w:rPr>
      </w:pPr>
      <w:r>
        <w:rPr>
          <w:rFonts w:hint="eastAsia" w:ascii="黑体" w:hAnsi="黑体" w:eastAsia="黑体" w:cs="宋体"/>
          <w:color w:val="auto"/>
          <w:kern w:val="0"/>
          <w:sz w:val="24"/>
          <w:szCs w:val="24"/>
          <w:lang w:val="en-US" w:eastAsia="zh-CN"/>
        </w:rPr>
        <w:t>八</w:t>
      </w:r>
      <w:r>
        <w:rPr>
          <w:rFonts w:hint="eastAsia" w:ascii="黑体" w:hAnsi="黑体" w:eastAsia="黑体" w:cs="宋体"/>
          <w:color w:val="auto"/>
          <w:kern w:val="0"/>
          <w:sz w:val="24"/>
          <w:szCs w:val="24"/>
        </w:rPr>
        <w:t>、</w:t>
      </w:r>
      <w:r>
        <w:rPr>
          <w:rFonts w:hint="eastAsia" w:ascii="黑体" w:hAnsi="黑体" w:eastAsia="黑体" w:cs="宋体"/>
          <w:color w:val="auto"/>
          <w:kern w:val="0"/>
          <w:sz w:val="24"/>
          <w:szCs w:val="24"/>
          <w:lang w:val="en-US" w:eastAsia="zh-CN"/>
        </w:rPr>
        <w:t>起草人员信息及分工</w:t>
      </w:r>
    </w:p>
    <w:tbl>
      <w:tblPr>
        <w:tblStyle w:val="8"/>
        <w:tblpPr w:leftFromText="180" w:rightFromText="180" w:vertAnchor="text" w:horzAnchor="page" w:tblpX="2189" w:tblpY="244"/>
        <w:tblOverlap w:val="never"/>
        <w:tblW w:w="8207" w:type="dxa"/>
        <w:tblInd w:w="0" w:type="dxa"/>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Layout w:type="fixed"/>
        <w:tblCellMar>
          <w:top w:w="0" w:type="dxa"/>
          <w:left w:w="108" w:type="dxa"/>
          <w:bottom w:w="0" w:type="dxa"/>
          <w:right w:w="108" w:type="dxa"/>
        </w:tblCellMar>
      </w:tblPr>
      <w:tblGrid>
        <w:gridCol w:w="797"/>
        <w:gridCol w:w="1153"/>
        <w:gridCol w:w="1230"/>
        <w:gridCol w:w="1397"/>
        <w:gridCol w:w="2040"/>
        <w:gridCol w:w="1590"/>
      </w:tblGrid>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序号</w:t>
            </w:r>
          </w:p>
        </w:tc>
        <w:tc>
          <w:tcPr>
            <w:tcW w:w="1153" w:type="dxa"/>
            <w:tcBorders>
              <w:top w:val="single" w:color="auto" w:sz="6" w:space="0"/>
              <w:bottom w:val="single" w:color="auto" w:sz="6" w:space="0"/>
              <w:right w:val="single" w:color="auto" w:sz="6" w:space="0"/>
            </w:tcBorders>
            <w:noWrap w:val="0"/>
            <w:vAlign w:val="center"/>
          </w:tcPr>
          <w:p>
            <w:pPr>
              <w:tabs>
                <w:tab w:val="center" w:pos="468"/>
              </w:tabs>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姓名</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专业</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职称</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工作单位</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项目分工</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1</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王汝艳</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园艺</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高级农艺师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2</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沈静依</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农业信息技术</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无锡市惠山区阳山镇综合服务中心</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项目协调</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3</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赵丽丽</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园艺</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高级农艺师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惠山区农业农村局</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项目协调</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4</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许梅</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果树</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惠山区农业农村局</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项目协调</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5</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万成东</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设施农业科学与工程</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助理农艺师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资料收集</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6</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赵逸人</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园艺</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高级农艺师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资料收集</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7</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金唯新</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植保</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正高级农艺师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项目起草</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8</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沈斐</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园艺</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中级农艺师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项目起草</w:t>
            </w:r>
          </w:p>
        </w:tc>
      </w:tr>
      <w:tr>
        <w:tblPrEx>
          <w:tblBorders>
            <w:top w:val="single" w:color="auto" w:sz="12" w:space="0"/>
            <w:left w:val="single" w:color="auto" w:sz="12" w:space="0"/>
            <w:bottom w:val="single" w:color="auto" w:sz="12" w:space="0"/>
            <w:right w:val="single" w:color="auto" w:sz="12" w:space="0"/>
            <w:insideH w:val="single" w:color="auto" w:sz="6" w:space="0"/>
            <w:insideV w:val="none" w:color="auto" w:sz="0" w:space="0"/>
          </w:tblBorders>
          <w:tblCellMar>
            <w:top w:w="0" w:type="dxa"/>
            <w:left w:w="108" w:type="dxa"/>
            <w:bottom w:w="0" w:type="dxa"/>
            <w:right w:w="108" w:type="dxa"/>
          </w:tblCellMar>
        </w:tblPrEx>
        <w:trPr>
          <w:trHeight w:val="576" w:hRule="atLeast"/>
        </w:trPr>
        <w:tc>
          <w:tcPr>
            <w:tcW w:w="797" w:type="dxa"/>
            <w:tcBorders>
              <w:top w:val="single" w:color="auto" w:sz="6" w:space="0"/>
              <w:bottom w:val="single" w:color="auto" w:sz="6" w:space="0"/>
              <w:right w:val="single" w:color="auto" w:sz="6" w:space="0"/>
            </w:tcBorders>
            <w:noWrap w:val="0"/>
            <w:vAlign w:val="center"/>
          </w:tcPr>
          <w:p>
            <w:pPr>
              <w:spacing w:line="400" w:lineRule="exact"/>
              <w:jc w:val="center"/>
              <w:rPr>
                <w:rFonts w:hint="default" w:ascii="宋体" w:hAnsi="宋体" w:eastAsia="宋体" w:cs="宋体"/>
                <w:sz w:val="21"/>
                <w:szCs w:val="20"/>
                <w:lang w:val="en-US" w:eastAsia="zh-CN"/>
              </w:rPr>
            </w:pPr>
            <w:r>
              <w:rPr>
                <w:rFonts w:hint="eastAsia" w:ascii="宋体" w:hAnsi="宋体" w:eastAsia="宋体" w:cs="宋体"/>
                <w:sz w:val="21"/>
                <w:szCs w:val="20"/>
                <w:lang w:val="en-US" w:eastAsia="zh-CN"/>
              </w:rPr>
              <w:t>9</w:t>
            </w:r>
          </w:p>
        </w:tc>
        <w:tc>
          <w:tcPr>
            <w:tcW w:w="1153" w:type="dxa"/>
            <w:tcBorders>
              <w:top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高寒</w:t>
            </w:r>
          </w:p>
        </w:tc>
        <w:tc>
          <w:tcPr>
            <w:tcW w:w="123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园艺</w:t>
            </w:r>
          </w:p>
        </w:tc>
        <w:tc>
          <w:tcPr>
            <w:tcW w:w="1397"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农艺师</w:t>
            </w:r>
          </w:p>
        </w:tc>
        <w:tc>
          <w:tcPr>
            <w:tcW w:w="204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无锡市惠山区阳山水蜜桃桃农协会</w:t>
            </w:r>
          </w:p>
        </w:tc>
        <w:tc>
          <w:tcPr>
            <w:tcW w:w="1590" w:type="dxa"/>
            <w:tcBorders>
              <w:top w:val="single" w:color="auto" w:sz="6" w:space="0"/>
              <w:left w:val="single" w:color="auto" w:sz="6" w:space="0"/>
              <w:bottom w:val="single" w:color="auto" w:sz="6" w:space="0"/>
              <w:right w:val="single" w:color="auto" w:sz="6" w:space="0"/>
            </w:tcBorders>
            <w:noWrap w:val="0"/>
            <w:vAlign w:val="center"/>
          </w:tcPr>
          <w:p>
            <w:pPr>
              <w:spacing w:line="400" w:lineRule="exact"/>
              <w:jc w:val="center"/>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项目起草</w:t>
            </w:r>
          </w:p>
        </w:tc>
      </w:tr>
    </w:tbl>
    <w:p>
      <w:pPr>
        <w:spacing w:line="400" w:lineRule="exact"/>
        <w:rPr>
          <w:rFonts w:hint="eastAsia" w:ascii="宋体" w:hAnsi="宋体" w:eastAsia="宋体" w:cs="宋体"/>
          <w:sz w:val="21"/>
          <w:szCs w:val="20"/>
          <w:lang w:val="en-US" w:eastAsia="zh-CN"/>
        </w:rPr>
      </w:pPr>
    </w:p>
    <w:p>
      <w:pPr>
        <w:spacing w:beforeLines="50" w:afterLines="50" w:line="460" w:lineRule="exact"/>
        <w:rPr>
          <w:rFonts w:ascii="黑体" w:hAnsi="黑体" w:eastAsia="黑体" w:cs="宋体"/>
          <w:kern w:val="0"/>
          <w:sz w:val="24"/>
          <w:szCs w:val="24"/>
        </w:rPr>
      </w:pPr>
      <w:r>
        <w:rPr>
          <w:rFonts w:hint="eastAsia" w:ascii="黑体" w:hAnsi="黑体" w:eastAsia="黑体" w:cs="宋体"/>
          <w:kern w:val="0"/>
          <w:sz w:val="24"/>
          <w:szCs w:val="24"/>
          <w:lang w:val="en-US" w:eastAsia="zh-CN"/>
        </w:rPr>
        <w:t>十</w:t>
      </w:r>
      <w:r>
        <w:rPr>
          <w:rFonts w:hint="eastAsia" w:ascii="黑体" w:hAnsi="黑体" w:eastAsia="黑体" w:cs="宋体"/>
          <w:kern w:val="0"/>
          <w:sz w:val="24"/>
          <w:szCs w:val="24"/>
        </w:rPr>
        <w:t>、实施推广建议</w:t>
      </w:r>
    </w:p>
    <w:p>
      <w:pPr>
        <w:spacing w:line="400" w:lineRule="exact"/>
        <w:ind w:firstLine="420" w:firstLineChars="200"/>
        <w:rPr>
          <w:rFonts w:ascii="宋体" w:hAnsi="宋体" w:eastAsia="宋体" w:cs="宋体"/>
          <w:sz w:val="28"/>
          <w:szCs w:val="24"/>
        </w:rPr>
      </w:pPr>
      <w:r>
        <w:rPr>
          <w:rFonts w:hint="eastAsia" w:ascii="宋体" w:hAnsi="宋体" w:eastAsia="宋体" w:cs="宋体"/>
          <w:sz w:val="21"/>
          <w:szCs w:val="20"/>
          <w:lang w:val="en-US" w:eastAsia="zh-CN"/>
        </w:rPr>
        <w:t>本次修订的标准主要对无锡水蜜桃的树相指标、产量指标、适宜品种、开园定植、土肥水管理、花果管理、整形修剪、病虫害防治和果实采收技术提出了标准化要求，仅适用于无锡阳山、洛社、钱桥等地区生产的无锡水蜜桃。</w:t>
      </w:r>
      <w:bookmarkStart w:id="0" w:name="_GoBack"/>
      <w:bookmarkEnd w:id="0"/>
    </w:p>
    <w:p>
      <w:pPr>
        <w:spacing w:line="460" w:lineRule="exact"/>
        <w:ind w:firstLine="480" w:firstLineChars="200"/>
        <w:rPr>
          <w:rFonts w:ascii="宋体" w:hAnsi="宋体" w:eastAsia="宋体" w:cs="宋体"/>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2"/>
      <w:suff w:val="nothing"/>
      <w:lvlText w:val="%1.%2.%3　"/>
      <w:lvlJc w:val="left"/>
      <w:pPr>
        <w:ind w:left="0" w:firstLine="0"/>
      </w:pPr>
      <w:rPr>
        <w:rFonts w:hint="eastAsia" w:ascii="黑体" w:hAnsi="Times New Roman" w:eastAsia="黑体"/>
        <w:b w:val="0"/>
        <w:i w:val="0"/>
        <w:sz w:val="21"/>
      </w:rPr>
    </w:lvl>
    <w:lvl w:ilvl="3" w:tentative="0">
      <w:start w:val="1"/>
      <w:numFmt w:val="decimal"/>
      <w:pStyle w:val="21"/>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420" w:firstLine="0"/>
      </w:pPr>
      <w:rPr>
        <w:rFonts w:hint="eastAsia" w:ascii="黑体" w:hAnsi="Times New Roman" w:eastAsia="黑体"/>
        <w:b w:val="0"/>
        <w:i w:val="0"/>
        <w:sz w:val="21"/>
      </w:rPr>
    </w:lvl>
    <w:lvl w:ilvl="5" w:tentative="0">
      <w:start w:val="1"/>
      <w:numFmt w:val="decimal"/>
      <w:suff w:val="nothing"/>
      <w:lvlText w:val="%1.%2.%3.%4.%5.%6　"/>
      <w:lvlJc w:val="left"/>
      <w:pPr>
        <w:ind w:left="-420" w:firstLine="0"/>
      </w:pPr>
      <w:rPr>
        <w:rFonts w:hint="eastAsia" w:ascii="黑体" w:hAnsi="Times New Roman" w:eastAsia="黑体"/>
        <w:b w:val="0"/>
        <w:i w:val="0"/>
        <w:sz w:val="21"/>
      </w:rPr>
    </w:lvl>
    <w:lvl w:ilvl="6" w:tentative="0">
      <w:start w:val="1"/>
      <w:numFmt w:val="decimal"/>
      <w:suff w:val="nothing"/>
      <w:lvlText w:val="%1%2.%3.%4.%5.%6.%7　"/>
      <w:lvlJc w:val="left"/>
      <w:pPr>
        <w:ind w:left="-420" w:firstLine="0"/>
      </w:pPr>
      <w:rPr>
        <w:rFonts w:hint="eastAsia" w:ascii="黑体" w:hAnsi="Times New Roman" w:eastAsia="黑体"/>
        <w:b w:val="0"/>
        <w:i w:val="0"/>
        <w:sz w:val="21"/>
      </w:rPr>
    </w:lvl>
    <w:lvl w:ilvl="7" w:tentative="0">
      <w:start w:val="1"/>
      <w:numFmt w:val="decimal"/>
      <w:lvlText w:val="%1.%2.%3.%4.%5.%6.%7.%8"/>
      <w:lvlJc w:val="left"/>
      <w:pPr>
        <w:tabs>
          <w:tab w:val="left" w:pos="3931"/>
        </w:tabs>
        <w:ind w:left="3549" w:hanging="1418"/>
      </w:pPr>
      <w:rPr>
        <w:rFonts w:hint="eastAsia"/>
      </w:rPr>
    </w:lvl>
    <w:lvl w:ilvl="8" w:tentative="0">
      <w:start w:val="1"/>
      <w:numFmt w:val="decimal"/>
      <w:lvlText w:val="%1.%2.%3.%4.%5.%6.%7.%8.%9"/>
      <w:lvlJc w:val="left"/>
      <w:pPr>
        <w:tabs>
          <w:tab w:val="left" w:pos="4357"/>
        </w:tabs>
        <w:ind w:left="4257" w:hanging="1700"/>
      </w:pPr>
      <w:rPr>
        <w:rFonts w:hint="eastAsia"/>
      </w:rPr>
    </w:lvl>
  </w:abstractNum>
  <w:abstractNum w:abstractNumId="1">
    <w:nsid w:val="63433A77"/>
    <w:multiLevelType w:val="multilevel"/>
    <w:tmpl w:val="63433A77"/>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pStyle w:val="16"/>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NiZGUyMzVjNGI3MGIzMmE1YzZiODlmZjQ4OWQzNzUifQ=="/>
  </w:docVars>
  <w:rsids>
    <w:rsidRoot w:val="009E1168"/>
    <w:rsid w:val="00037EE6"/>
    <w:rsid w:val="000626D9"/>
    <w:rsid w:val="00067CF0"/>
    <w:rsid w:val="00080F0F"/>
    <w:rsid w:val="000A7125"/>
    <w:rsid w:val="000B48DE"/>
    <w:rsid w:val="000B7366"/>
    <w:rsid w:val="000C1B6A"/>
    <w:rsid w:val="000C69DA"/>
    <w:rsid w:val="000D03F7"/>
    <w:rsid w:val="000F490F"/>
    <w:rsid w:val="000F6611"/>
    <w:rsid w:val="00140AEC"/>
    <w:rsid w:val="001432EE"/>
    <w:rsid w:val="00157356"/>
    <w:rsid w:val="0016214E"/>
    <w:rsid w:val="00176C99"/>
    <w:rsid w:val="00180792"/>
    <w:rsid w:val="00180D1F"/>
    <w:rsid w:val="001C36D5"/>
    <w:rsid w:val="001F054B"/>
    <w:rsid w:val="001F2816"/>
    <w:rsid w:val="00205BE9"/>
    <w:rsid w:val="00212E08"/>
    <w:rsid w:val="00213F38"/>
    <w:rsid w:val="0024313A"/>
    <w:rsid w:val="002932DC"/>
    <w:rsid w:val="002B6E03"/>
    <w:rsid w:val="002C068A"/>
    <w:rsid w:val="002C0DB3"/>
    <w:rsid w:val="003068A6"/>
    <w:rsid w:val="0030738A"/>
    <w:rsid w:val="003143E9"/>
    <w:rsid w:val="00321681"/>
    <w:rsid w:val="00322D42"/>
    <w:rsid w:val="003309B7"/>
    <w:rsid w:val="003316DC"/>
    <w:rsid w:val="00333DF1"/>
    <w:rsid w:val="00346398"/>
    <w:rsid w:val="00347FF2"/>
    <w:rsid w:val="00373906"/>
    <w:rsid w:val="0039145D"/>
    <w:rsid w:val="003C1997"/>
    <w:rsid w:val="003D06B0"/>
    <w:rsid w:val="003D34B8"/>
    <w:rsid w:val="003E16E7"/>
    <w:rsid w:val="003E4CDB"/>
    <w:rsid w:val="004159CD"/>
    <w:rsid w:val="00435A01"/>
    <w:rsid w:val="004379E3"/>
    <w:rsid w:val="00457121"/>
    <w:rsid w:val="00466236"/>
    <w:rsid w:val="00477765"/>
    <w:rsid w:val="0048157B"/>
    <w:rsid w:val="00482968"/>
    <w:rsid w:val="004A2936"/>
    <w:rsid w:val="004B5820"/>
    <w:rsid w:val="004F000D"/>
    <w:rsid w:val="004F493A"/>
    <w:rsid w:val="004F4EE4"/>
    <w:rsid w:val="00512B69"/>
    <w:rsid w:val="005264FC"/>
    <w:rsid w:val="00531DD5"/>
    <w:rsid w:val="00540809"/>
    <w:rsid w:val="00541C46"/>
    <w:rsid w:val="005421DA"/>
    <w:rsid w:val="0054329E"/>
    <w:rsid w:val="00574AF9"/>
    <w:rsid w:val="00577F59"/>
    <w:rsid w:val="00587C24"/>
    <w:rsid w:val="00592DA1"/>
    <w:rsid w:val="005C34A4"/>
    <w:rsid w:val="005D2FD2"/>
    <w:rsid w:val="005E10EE"/>
    <w:rsid w:val="005E5EAF"/>
    <w:rsid w:val="00600F1A"/>
    <w:rsid w:val="00624BB1"/>
    <w:rsid w:val="00654CBF"/>
    <w:rsid w:val="00665AE2"/>
    <w:rsid w:val="006766FF"/>
    <w:rsid w:val="006B3D23"/>
    <w:rsid w:val="006B4DB1"/>
    <w:rsid w:val="006C5316"/>
    <w:rsid w:val="006D4E5C"/>
    <w:rsid w:val="00706095"/>
    <w:rsid w:val="00723A8A"/>
    <w:rsid w:val="007325F8"/>
    <w:rsid w:val="00750028"/>
    <w:rsid w:val="00762821"/>
    <w:rsid w:val="00771B78"/>
    <w:rsid w:val="00775BC1"/>
    <w:rsid w:val="00781019"/>
    <w:rsid w:val="00783AF9"/>
    <w:rsid w:val="007A0DA8"/>
    <w:rsid w:val="007B5144"/>
    <w:rsid w:val="007B5FE6"/>
    <w:rsid w:val="007E7CF2"/>
    <w:rsid w:val="008078D4"/>
    <w:rsid w:val="00810196"/>
    <w:rsid w:val="00854E90"/>
    <w:rsid w:val="00860864"/>
    <w:rsid w:val="00862735"/>
    <w:rsid w:val="00870B7B"/>
    <w:rsid w:val="00885CBD"/>
    <w:rsid w:val="0089434F"/>
    <w:rsid w:val="0089741A"/>
    <w:rsid w:val="008C63B6"/>
    <w:rsid w:val="008D1A2B"/>
    <w:rsid w:val="008F0FC8"/>
    <w:rsid w:val="008F569E"/>
    <w:rsid w:val="0090048E"/>
    <w:rsid w:val="00900F0C"/>
    <w:rsid w:val="00966F29"/>
    <w:rsid w:val="00971537"/>
    <w:rsid w:val="00974DD1"/>
    <w:rsid w:val="00980CA4"/>
    <w:rsid w:val="009B56E0"/>
    <w:rsid w:val="009C05D9"/>
    <w:rsid w:val="009C7953"/>
    <w:rsid w:val="009D1D94"/>
    <w:rsid w:val="009E1168"/>
    <w:rsid w:val="00A00C53"/>
    <w:rsid w:val="00A31797"/>
    <w:rsid w:val="00A325E8"/>
    <w:rsid w:val="00A424C4"/>
    <w:rsid w:val="00A471D9"/>
    <w:rsid w:val="00A522F1"/>
    <w:rsid w:val="00A63A4F"/>
    <w:rsid w:val="00A777A7"/>
    <w:rsid w:val="00A84EA4"/>
    <w:rsid w:val="00AA7DD9"/>
    <w:rsid w:val="00AD5B04"/>
    <w:rsid w:val="00B06936"/>
    <w:rsid w:val="00B128F6"/>
    <w:rsid w:val="00B51AA9"/>
    <w:rsid w:val="00B52956"/>
    <w:rsid w:val="00B546FB"/>
    <w:rsid w:val="00B62D5B"/>
    <w:rsid w:val="00B809C9"/>
    <w:rsid w:val="00B80D76"/>
    <w:rsid w:val="00BC54BD"/>
    <w:rsid w:val="00BD3C80"/>
    <w:rsid w:val="00BD4132"/>
    <w:rsid w:val="00BF1013"/>
    <w:rsid w:val="00BF4053"/>
    <w:rsid w:val="00C0695F"/>
    <w:rsid w:val="00C27471"/>
    <w:rsid w:val="00C55BB3"/>
    <w:rsid w:val="00C6162E"/>
    <w:rsid w:val="00C82F3E"/>
    <w:rsid w:val="00CA0B51"/>
    <w:rsid w:val="00CA3912"/>
    <w:rsid w:val="00CA55F5"/>
    <w:rsid w:val="00CB6A32"/>
    <w:rsid w:val="00CC6893"/>
    <w:rsid w:val="00CD6A4B"/>
    <w:rsid w:val="00CF337A"/>
    <w:rsid w:val="00D2177B"/>
    <w:rsid w:val="00D40344"/>
    <w:rsid w:val="00D43540"/>
    <w:rsid w:val="00D53E8E"/>
    <w:rsid w:val="00D61F06"/>
    <w:rsid w:val="00D84634"/>
    <w:rsid w:val="00D84708"/>
    <w:rsid w:val="00D87CB8"/>
    <w:rsid w:val="00D9007B"/>
    <w:rsid w:val="00D9490F"/>
    <w:rsid w:val="00DB6DA9"/>
    <w:rsid w:val="00DC0CAF"/>
    <w:rsid w:val="00DD65A3"/>
    <w:rsid w:val="00E01B7F"/>
    <w:rsid w:val="00E03F77"/>
    <w:rsid w:val="00E114E4"/>
    <w:rsid w:val="00E27F37"/>
    <w:rsid w:val="00E32D28"/>
    <w:rsid w:val="00E34860"/>
    <w:rsid w:val="00E636A2"/>
    <w:rsid w:val="00E83805"/>
    <w:rsid w:val="00E92B1C"/>
    <w:rsid w:val="00E94C92"/>
    <w:rsid w:val="00EC7116"/>
    <w:rsid w:val="00EC71B7"/>
    <w:rsid w:val="00ED16D5"/>
    <w:rsid w:val="00EF2EB1"/>
    <w:rsid w:val="00EF3E7B"/>
    <w:rsid w:val="00F0093B"/>
    <w:rsid w:val="00F05B44"/>
    <w:rsid w:val="00F11125"/>
    <w:rsid w:val="00F30475"/>
    <w:rsid w:val="00F432EF"/>
    <w:rsid w:val="00F44044"/>
    <w:rsid w:val="00F612A6"/>
    <w:rsid w:val="00F6184F"/>
    <w:rsid w:val="00F7057C"/>
    <w:rsid w:val="00FA1027"/>
    <w:rsid w:val="00FC03D1"/>
    <w:rsid w:val="00FC35C0"/>
    <w:rsid w:val="00FD77C7"/>
    <w:rsid w:val="0A96169A"/>
    <w:rsid w:val="0BE4662C"/>
    <w:rsid w:val="2121128E"/>
    <w:rsid w:val="351C4C06"/>
    <w:rsid w:val="37385AB1"/>
    <w:rsid w:val="3F8B0E45"/>
    <w:rsid w:val="4E8C53A4"/>
    <w:rsid w:val="593E71E4"/>
    <w:rsid w:val="71BF3445"/>
    <w:rsid w:val="7C4A4939"/>
    <w:rsid w:val="7FBF5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30"/>
    <w:autoRedefine/>
    <w:semiHidden/>
    <w:unhideWhenUsed/>
    <w:qFormat/>
    <w:uiPriority w:val="99"/>
    <w:pPr>
      <w:jc w:val="left"/>
    </w:pPr>
  </w:style>
  <w:style w:type="paragraph" w:styleId="4">
    <w:name w:val="Balloon Text"/>
    <w:basedOn w:val="1"/>
    <w:link w:val="29"/>
    <w:autoRedefine/>
    <w:semiHidden/>
    <w:unhideWhenUsed/>
    <w:qFormat/>
    <w:uiPriority w:val="99"/>
    <w:rPr>
      <w:sz w:val="18"/>
      <w:szCs w:val="18"/>
    </w:rPr>
  </w:style>
  <w:style w:type="paragraph" w:styleId="5">
    <w:name w:val="footer"/>
    <w:basedOn w:val="1"/>
    <w:link w:val="14"/>
    <w:autoRedefine/>
    <w:unhideWhenUsed/>
    <w:qFormat/>
    <w:uiPriority w:val="99"/>
    <w:pPr>
      <w:tabs>
        <w:tab w:val="center" w:pos="4153"/>
        <w:tab w:val="right" w:pos="8306"/>
      </w:tabs>
      <w:snapToGrid w:val="0"/>
      <w:jc w:val="left"/>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31"/>
    <w:autoRedefine/>
    <w:semiHidden/>
    <w:unhideWhenUsed/>
    <w:qFormat/>
    <w:uiPriority w:val="99"/>
    <w:rPr>
      <w:b/>
      <w:bCs/>
    </w:rPr>
  </w:style>
  <w:style w:type="character" w:styleId="10">
    <w:name w:val="Strong"/>
    <w:basedOn w:val="9"/>
    <w:autoRedefine/>
    <w:qFormat/>
    <w:uiPriority w:val="22"/>
    <w:rPr>
      <w:b/>
      <w:bCs/>
    </w:rPr>
  </w:style>
  <w:style w:type="character" w:styleId="11">
    <w:name w:val="Emphasis"/>
    <w:basedOn w:val="9"/>
    <w:autoRedefine/>
    <w:qFormat/>
    <w:uiPriority w:val="20"/>
    <w:rPr>
      <w:i/>
      <w:iCs/>
    </w:rPr>
  </w:style>
  <w:style w:type="character" w:styleId="12">
    <w:name w:val="annotation reference"/>
    <w:basedOn w:val="9"/>
    <w:autoRedefine/>
    <w:semiHidden/>
    <w:unhideWhenUsed/>
    <w:qFormat/>
    <w:uiPriority w:val="99"/>
    <w:rPr>
      <w:sz w:val="21"/>
      <w:szCs w:val="21"/>
    </w:rPr>
  </w:style>
  <w:style w:type="character" w:customStyle="1" w:styleId="13">
    <w:name w:val="页眉 Char"/>
    <w:basedOn w:val="9"/>
    <w:link w:val="6"/>
    <w:autoRedefine/>
    <w:qFormat/>
    <w:uiPriority w:val="99"/>
    <w:rPr>
      <w:sz w:val="18"/>
      <w:szCs w:val="18"/>
    </w:rPr>
  </w:style>
  <w:style w:type="character" w:customStyle="1" w:styleId="14">
    <w:name w:val="页脚 Char"/>
    <w:basedOn w:val="9"/>
    <w:link w:val="5"/>
    <w:autoRedefine/>
    <w:qFormat/>
    <w:uiPriority w:val="99"/>
    <w:rPr>
      <w:sz w:val="18"/>
      <w:szCs w:val="18"/>
    </w:rPr>
  </w:style>
  <w:style w:type="paragraph" w:styleId="15">
    <w:name w:val="List Paragraph"/>
    <w:basedOn w:val="1"/>
    <w:autoRedefine/>
    <w:qFormat/>
    <w:uiPriority w:val="34"/>
    <w:pPr>
      <w:ind w:firstLine="420" w:firstLineChars="200"/>
    </w:pPr>
  </w:style>
  <w:style w:type="paragraph" w:customStyle="1" w:styleId="16">
    <w:name w:val="附录一级条标题"/>
    <w:basedOn w:val="1"/>
    <w:next w:val="1"/>
    <w:autoRedefine/>
    <w:qFormat/>
    <w:uiPriority w:val="0"/>
    <w:pPr>
      <w:widowControl/>
      <w:numPr>
        <w:ilvl w:val="2"/>
        <w:numId w:val="1"/>
      </w:numPr>
      <w:tabs>
        <w:tab w:val="left" w:pos="360"/>
      </w:tabs>
      <w:wordWrap w:val="0"/>
      <w:overflowPunct w:val="0"/>
      <w:autoSpaceDE w:val="0"/>
      <w:autoSpaceDN w:val="0"/>
      <w:spacing w:beforeLines="50" w:afterLines="50"/>
      <w:textAlignment w:val="baseline"/>
      <w:outlineLvl w:val="2"/>
    </w:pPr>
    <w:rPr>
      <w:rFonts w:ascii="黑体" w:hAnsi="Times New Roman" w:eastAsia="黑体" w:cs="Times New Roman"/>
      <w:kern w:val="21"/>
      <w:szCs w:val="20"/>
    </w:rPr>
  </w:style>
  <w:style w:type="character" w:customStyle="1" w:styleId="17">
    <w:name w:val="标题 3 Char"/>
    <w:basedOn w:val="9"/>
    <w:link w:val="2"/>
    <w:autoRedefine/>
    <w:qFormat/>
    <w:uiPriority w:val="9"/>
    <w:rPr>
      <w:rFonts w:ascii="宋体" w:hAnsi="宋体" w:eastAsia="宋体" w:cs="宋体"/>
      <w:b/>
      <w:bCs/>
      <w:kern w:val="0"/>
      <w:sz w:val="27"/>
      <w:szCs w:val="27"/>
    </w:rPr>
  </w:style>
  <w:style w:type="paragraph" w:customStyle="1" w:styleId="18">
    <w:name w:val="封面标准名称"/>
    <w:link w:val="24"/>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9">
    <w:name w:val="Default"/>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20">
    <w:name w:val="段"/>
    <w:link w:val="2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21">
    <w:name w:val="三级条标题"/>
    <w:basedOn w:val="22"/>
    <w:next w:val="20"/>
    <w:autoRedefine/>
    <w:qFormat/>
    <w:uiPriority w:val="0"/>
    <w:pPr>
      <w:numPr>
        <w:ilvl w:val="3"/>
      </w:numPr>
      <w:outlineLvl w:val="4"/>
    </w:pPr>
  </w:style>
  <w:style w:type="paragraph" w:customStyle="1" w:styleId="22">
    <w:name w:val="二级条标题"/>
    <w:basedOn w:val="23"/>
    <w:next w:val="20"/>
    <w:autoRedefine/>
    <w:qFormat/>
    <w:uiPriority w:val="0"/>
    <w:pPr>
      <w:numPr>
        <w:ilvl w:val="2"/>
      </w:numPr>
      <w:spacing w:before="50" w:after="50"/>
      <w:outlineLvl w:val="3"/>
    </w:pPr>
  </w:style>
  <w:style w:type="paragraph" w:customStyle="1" w:styleId="23">
    <w:name w:val="一级条标题"/>
    <w:next w:val="20"/>
    <w:autoRedefine/>
    <w:qFormat/>
    <w:uiPriority w:val="0"/>
    <w:pPr>
      <w:numPr>
        <w:ilvl w:val="1"/>
        <w:numId w:val="2"/>
      </w:numPr>
      <w:spacing w:beforeLines="50" w:afterLines="50"/>
      <w:outlineLvl w:val="2"/>
    </w:pPr>
    <w:rPr>
      <w:rFonts w:ascii="黑体" w:hAnsi="Times New Roman" w:eastAsia="黑体" w:cs="Times New Roman"/>
      <w:kern w:val="0"/>
      <w:sz w:val="21"/>
      <w:szCs w:val="21"/>
      <w:lang w:val="en-US" w:eastAsia="zh-CN" w:bidi="ar-SA"/>
    </w:rPr>
  </w:style>
  <w:style w:type="character" w:customStyle="1" w:styleId="24">
    <w:name w:val="封面标准名称 Char"/>
    <w:link w:val="18"/>
    <w:autoRedefine/>
    <w:qFormat/>
    <w:uiPriority w:val="0"/>
    <w:rPr>
      <w:rFonts w:ascii="黑体" w:hAnsi="Times New Roman" w:eastAsia="黑体" w:cs="Times New Roman"/>
      <w:kern w:val="0"/>
      <w:sz w:val="52"/>
      <w:szCs w:val="20"/>
    </w:rPr>
  </w:style>
  <w:style w:type="character" w:customStyle="1" w:styleId="25">
    <w:name w:val="段 Char"/>
    <w:link w:val="20"/>
    <w:autoRedefine/>
    <w:qFormat/>
    <w:uiPriority w:val="0"/>
    <w:rPr>
      <w:rFonts w:ascii="宋体" w:hAnsi="Times New Roman" w:eastAsia="宋体" w:cs="Times New Roman"/>
      <w:kern w:val="0"/>
      <w:szCs w:val="20"/>
    </w:rPr>
  </w:style>
  <w:style w:type="paragraph" w:customStyle="1" w:styleId="26">
    <w:name w:val="章标题"/>
    <w:next w:val="20"/>
    <w:autoRedefine/>
    <w:qFormat/>
    <w:uiPriority w:val="0"/>
    <w:p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27">
    <w:name w:val="四级条标题"/>
    <w:basedOn w:val="21"/>
    <w:next w:val="20"/>
    <w:autoRedefine/>
    <w:qFormat/>
    <w:uiPriority w:val="0"/>
    <w:pPr>
      <w:numPr>
        <w:ilvl w:val="0"/>
        <w:numId w:val="0"/>
      </w:numPr>
      <w:outlineLvl w:val="5"/>
    </w:pPr>
  </w:style>
  <w:style w:type="paragraph" w:customStyle="1" w:styleId="28">
    <w:name w:val="五级条标题"/>
    <w:basedOn w:val="27"/>
    <w:next w:val="20"/>
    <w:autoRedefine/>
    <w:qFormat/>
    <w:uiPriority w:val="0"/>
    <w:pPr>
      <w:outlineLvl w:val="6"/>
    </w:pPr>
  </w:style>
  <w:style w:type="character" w:customStyle="1" w:styleId="29">
    <w:name w:val="批注框文本 Char"/>
    <w:basedOn w:val="9"/>
    <w:link w:val="4"/>
    <w:autoRedefine/>
    <w:semiHidden/>
    <w:qFormat/>
    <w:uiPriority w:val="99"/>
    <w:rPr>
      <w:sz w:val="18"/>
      <w:szCs w:val="18"/>
    </w:rPr>
  </w:style>
  <w:style w:type="character" w:customStyle="1" w:styleId="30">
    <w:name w:val="批注文字 Char"/>
    <w:basedOn w:val="9"/>
    <w:link w:val="3"/>
    <w:autoRedefine/>
    <w:semiHidden/>
    <w:qFormat/>
    <w:uiPriority w:val="99"/>
  </w:style>
  <w:style w:type="character" w:customStyle="1" w:styleId="31">
    <w:name w:val="批注主题 Char"/>
    <w:basedOn w:val="30"/>
    <w:link w:val="7"/>
    <w:autoRedefine/>
    <w:semiHidden/>
    <w:qFormat/>
    <w:uiPriority w:val="99"/>
    <w:rPr>
      <w:b/>
      <w:bCs/>
    </w:rPr>
  </w:style>
  <w:style w:type="paragraph" w:customStyle="1" w:styleId="32">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07B7B-CA14-4A15-8791-8712673B7743}">
  <ds:schemaRefs/>
</ds:datastoreItem>
</file>

<file path=docProps/app.xml><?xml version="1.0" encoding="utf-8"?>
<Properties xmlns="http://schemas.openxmlformats.org/officeDocument/2006/extended-properties" xmlns:vt="http://schemas.openxmlformats.org/officeDocument/2006/docPropsVTypes">
  <Template>Normal</Template>
  <Pages>3</Pages>
  <Words>183</Words>
  <Characters>1047</Characters>
  <Lines>8</Lines>
  <Paragraphs>2</Paragraphs>
  <TotalTime>1</TotalTime>
  <ScaleCrop>false</ScaleCrop>
  <LinksUpToDate>false</LinksUpToDate>
  <CharactersWithSpaces>1228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2021-01-19T00:34:00Z</dcterms:created>
  <dc:creator>黄盛彬</dc:creator>
  <cp:lastModifiedBy>槿花凉夏</cp:lastModifiedBy>
  <cp:lastPrinted>2023-12-21T01:44:00Z</cp:lastPrinted>
  <dcterms:modified xsi:type="dcterms:W3CDTF">2024-06-03T08:54:35Z</dcterms:modified>
  <cp:revision>336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BEE1E40A54724AABBBCE5708633BDD46_12</vt:lpwstr>
  </property>
</Properties>
</file>